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Mapování, TÚ 2401, Hodonín – Bzenec přívoz, km 105,48 - 118,48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Mapování, TÚ 2401, Hodonín – Bzenec přívoz, km 105,48 - 118,48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20.08.2019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